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B0C43" w:rsidRPr="000B57D7" w:rsidRDefault="00CB0C43" w:rsidP="00CB0C43">
      <w:pPr>
        <w:suppressAutoHyphens w:val="0"/>
        <w:jc w:val="center"/>
        <w:rPr>
          <w:b/>
          <w:bCs/>
        </w:rPr>
      </w:pPr>
      <w:r w:rsidRPr="000B57D7">
        <w:rPr>
          <w:b/>
          <w:bCs/>
        </w:rPr>
        <w:t>Referensi</w:t>
      </w:r>
    </w:p>
    <w:p w:rsidR="00CB0C43" w:rsidRDefault="00CB0C43" w:rsidP="00CB0C43">
      <w:pPr>
        <w:suppressAutoHyphens w:val="0"/>
        <w:jc w:val="center"/>
      </w:pPr>
    </w:p>
    <w:p w:rsidR="00CB0C43" w:rsidRPr="00D61853" w:rsidRDefault="00CB0C43" w:rsidP="00CB0C43">
      <w:pPr>
        <w:widowControl w:val="0"/>
        <w:autoSpaceDE w:val="0"/>
        <w:autoSpaceDN w:val="0"/>
        <w:adjustRightInd w:val="0"/>
        <w:ind w:left="640" w:hanging="640"/>
        <w:rPr>
          <w:noProof/>
        </w:rPr>
      </w:pPr>
      <w:r>
        <w:rPr>
          <w:rStyle w:val="Hyperlink"/>
          <w:color w:val="auto"/>
          <w:sz w:val="23"/>
          <w:szCs w:val="23"/>
        </w:rPr>
        <w:fldChar w:fldCharType="begin" w:fldLock="1"/>
      </w:r>
      <w:r>
        <w:rPr>
          <w:rStyle w:val="Hyperlink"/>
          <w:color w:val="auto"/>
          <w:sz w:val="23"/>
          <w:szCs w:val="23"/>
        </w:rPr>
        <w:instrText>ADDIN CSL_CITATION {"citationItems":[{"id":"ITEM-1","itemData":{"ISBN":"15.000.000,00","abstract":"Pada masa saat ini banyak terjadi kasus tindak pidana yang meresahkan salah satunya adalah judi online. Dalam penanganan kasusnya judi online menggunakan media sosial sebagai alat bukti di persidangan. Tujuan penelitian ini adalah untuk mengetahui bagaimana pengaturan hukum terhadap tindak pidana judi online dan bagaimana kekuatan alat bukti media sosial dalam perkara tindak pidana judi online. Metode Penelitian ini menggunakan Metode tipe penelitian normatif. Berdasarkan hasil penelitian ini pengaturan tindak pidana mengenai perjudian diatur dalam Pasal 303 KUHP dan Pasal 303 BIS KUHP, sedangkan mengenai pengaturan judi online diatur dalam Pasal 27 ayat (2) Undang-Undang Nomor 11 Tahun 2008 tentang informasi dan transaksi elektronik jo pasal 45 ayat (2) Undang-Undang Nomor 19 Tahun 2016 tentang Informasi dan transaksi elektronik. Kekuatan alat bukti media sosial dalam perkara judi online merupakan alat bukti yang kuat dan sah. Sahnya suatu alat bukti maka diperlukannya validasi bukti elektronik yang di mana persyaratan dan ketentuan alat bukti yang diatur dalam KUHAP maka bukti elektronik harus memenuhi persyaratan formil dan materiil sebagai suatu alat bukti yang akan dapat dinyatakan sah dan dipergunakan di persidangan. Pemerintah dan masyarakat harus sigap serta waspada.","author":[{"dropping-particle":"","family":"Gusti Ayu Gita Dharma Vahini Mahiratna","given":"","non-dropping-particle":"","parse-names":false,"suffix":""},{"dropping-particle":"","family":"Dewi","given":"Anak Agung Sagung Laksmi","non-dropping-particle":"","parse-names":false,"suffix":""},{"dropping-particle":"","family":"Wirawan","given":"Ketut Adi","non-dropping-particle":"","parse-names":false,"suffix":""}],"container-title":"Jurnal Preferensi Hukum","id":"ITEM-1","issue":"1","issued":{"date-parts":[["2022"]]},"page":"2746-5039","title":"Kekuatan Alat Bukti Media Sosial Dalam Perkara Tindak Pidana Judi Online","type":"article-journal","volume":"4"},"uris":["http://www.mendeley.com/documents/?uuid=4e1d90a1-5a86-49e2-88e8-17c6986a7eb8"]}],"mendeley":{"formattedCitation":"[1]","plainTextFormattedCitation":"[1]","previouslyFormattedCitation":"[1]"},"properties":{"noteIndex":0},"schema":"https://github.com/citation-style-language/schema/raw/master/csl-citation.json"}</w:instrText>
      </w:r>
      <w:r>
        <w:rPr>
          <w:rStyle w:val="Hyperlink"/>
          <w:color w:val="auto"/>
          <w:sz w:val="23"/>
          <w:szCs w:val="23"/>
        </w:rPr>
        <w:fldChar w:fldCharType="separate"/>
      </w:r>
      <w:r w:rsidRPr="00203EB6">
        <w:rPr>
          <w:rStyle w:val="Hyperlink"/>
          <w:noProof/>
          <w:color w:val="auto"/>
          <w:sz w:val="23"/>
          <w:szCs w:val="23"/>
        </w:rPr>
        <w:t>[1]</w:t>
      </w:r>
      <w:r>
        <w:rPr>
          <w:rStyle w:val="Hyperlink"/>
          <w:color w:val="auto"/>
          <w:sz w:val="23"/>
          <w:szCs w:val="23"/>
        </w:rPr>
        <w:fldChar w:fldCharType="end"/>
      </w:r>
      <w:r>
        <w:rPr>
          <w:rStyle w:val="Hyperlink"/>
          <w:color w:val="auto"/>
          <w:sz w:val="23"/>
          <w:szCs w:val="23"/>
        </w:rPr>
        <w:fldChar w:fldCharType="begin" w:fldLock="1"/>
      </w:r>
      <w:r>
        <w:rPr>
          <w:rStyle w:val="Hyperlink"/>
          <w:color w:val="auto"/>
          <w:sz w:val="23"/>
          <w:szCs w:val="23"/>
        </w:rPr>
        <w:instrText xml:space="preserve">ADDIN Mendeley Bibliography CSL_BIBLIOGRAPHY </w:instrText>
      </w:r>
      <w:r>
        <w:rPr>
          <w:rStyle w:val="Hyperlink"/>
          <w:color w:val="auto"/>
          <w:sz w:val="23"/>
          <w:szCs w:val="23"/>
        </w:rPr>
        <w:fldChar w:fldCharType="separate"/>
      </w:r>
      <w:r w:rsidRPr="00D61853">
        <w:rPr>
          <w:noProof/>
        </w:rPr>
        <w:tab/>
        <w:t xml:space="preserve">Gusti Ayu Gita Dharma Vahini Mahiratna, A. A. S. L. Dewi, and K. A. Wirawan, “Kekuatan Alat Bukti Media Sosial Dalam Perkara Tindak Pidana Judi Online,” </w:t>
      </w:r>
      <w:r w:rsidRPr="00D61853">
        <w:rPr>
          <w:i/>
          <w:iCs/>
          <w:noProof/>
        </w:rPr>
        <w:t>J. Prefer. Huk.</w:t>
      </w:r>
      <w:r w:rsidRPr="00D61853">
        <w:rPr>
          <w:noProof/>
        </w:rPr>
        <w:t>, vol. 4, no. 1, pp. 2746–5039, 2022, [Online]. Available: https://www.ejournal.warmadewa.ac.id/index.php/juprehum</w:t>
      </w:r>
    </w:p>
    <w:p w:rsidR="00CB0C43" w:rsidRPr="00D61853" w:rsidRDefault="00CB0C43" w:rsidP="00CB0C43">
      <w:pPr>
        <w:widowControl w:val="0"/>
        <w:autoSpaceDE w:val="0"/>
        <w:autoSpaceDN w:val="0"/>
        <w:adjustRightInd w:val="0"/>
        <w:ind w:left="640" w:hanging="640"/>
        <w:rPr>
          <w:noProof/>
        </w:rPr>
      </w:pPr>
      <w:r w:rsidRPr="00D61853">
        <w:rPr>
          <w:noProof/>
        </w:rPr>
        <w:t>[2]</w:t>
      </w:r>
      <w:r w:rsidRPr="00D61853">
        <w:rPr>
          <w:noProof/>
        </w:rPr>
        <w:tab/>
        <w:t>F. Ismail, “Kompleksitas dalam tindak pidana judi,” 2025.</w:t>
      </w:r>
    </w:p>
    <w:p w:rsidR="00CB0C43" w:rsidRPr="00D61853" w:rsidRDefault="00CB0C43" w:rsidP="00CB0C43">
      <w:pPr>
        <w:widowControl w:val="0"/>
        <w:autoSpaceDE w:val="0"/>
        <w:autoSpaceDN w:val="0"/>
        <w:adjustRightInd w:val="0"/>
        <w:ind w:left="640" w:hanging="640"/>
        <w:rPr>
          <w:noProof/>
        </w:rPr>
      </w:pPr>
      <w:r w:rsidRPr="00D61853">
        <w:rPr>
          <w:noProof/>
        </w:rPr>
        <w:t>[3]</w:t>
      </w:r>
      <w:r w:rsidRPr="00D61853">
        <w:rPr>
          <w:noProof/>
        </w:rPr>
        <w:tab/>
        <w:t xml:space="preserve">D. P. R. Lubis, </w:t>
      </w:r>
      <w:r w:rsidRPr="00D61853">
        <w:rPr>
          <w:i/>
          <w:iCs/>
          <w:noProof/>
        </w:rPr>
        <w:t>Pertanggungjawaban Pidana Terhadap Binary Option Trading Pada Binomo</w:t>
      </w:r>
      <w:r w:rsidRPr="00D61853">
        <w:rPr>
          <w:noProof/>
        </w:rPr>
        <w:t>. 2022.</w:t>
      </w:r>
    </w:p>
    <w:p w:rsidR="00CB0C43" w:rsidRPr="00D61853" w:rsidRDefault="00CB0C43" w:rsidP="00CB0C43">
      <w:pPr>
        <w:widowControl w:val="0"/>
        <w:autoSpaceDE w:val="0"/>
        <w:autoSpaceDN w:val="0"/>
        <w:adjustRightInd w:val="0"/>
        <w:ind w:left="640" w:hanging="640"/>
        <w:rPr>
          <w:noProof/>
        </w:rPr>
      </w:pPr>
      <w:r w:rsidRPr="00D61853">
        <w:rPr>
          <w:noProof/>
        </w:rPr>
        <w:t>[4]</w:t>
      </w:r>
      <w:r w:rsidRPr="00D61853">
        <w:rPr>
          <w:noProof/>
        </w:rPr>
        <w:tab/>
        <w:t xml:space="preserve">N. Rizkia, “Metode Penelitian Hukum: Normatif dan Empiris,” </w:t>
      </w:r>
      <w:r w:rsidRPr="00D61853">
        <w:rPr>
          <w:i/>
          <w:iCs/>
          <w:noProof/>
        </w:rPr>
        <w:t>Depok  Prenandamedia Goup</w:t>
      </w:r>
      <w:r w:rsidRPr="00D61853">
        <w:rPr>
          <w:noProof/>
        </w:rPr>
        <w:t>, p. 149, 2018.</w:t>
      </w:r>
    </w:p>
    <w:p w:rsidR="00CB0C43" w:rsidRPr="00D61853" w:rsidRDefault="00CB0C43" w:rsidP="00CB0C43">
      <w:pPr>
        <w:widowControl w:val="0"/>
        <w:autoSpaceDE w:val="0"/>
        <w:autoSpaceDN w:val="0"/>
        <w:adjustRightInd w:val="0"/>
        <w:ind w:left="640" w:hanging="640"/>
        <w:rPr>
          <w:noProof/>
        </w:rPr>
      </w:pPr>
      <w:r w:rsidRPr="00D61853">
        <w:rPr>
          <w:noProof/>
        </w:rPr>
        <w:t>[5]</w:t>
      </w:r>
      <w:r w:rsidRPr="00D61853">
        <w:rPr>
          <w:noProof/>
        </w:rPr>
        <w:tab/>
        <w:t xml:space="preserve">P. Malau, “Tinjauan Kitab Undang-Undang Hukum Pidana (KUHP) Baru 2023,” </w:t>
      </w:r>
      <w:r w:rsidRPr="00D61853">
        <w:rPr>
          <w:i/>
          <w:iCs/>
          <w:noProof/>
        </w:rPr>
        <w:t>AL-MANHAJ J. Huk. dan Pranata Sos. Islam</w:t>
      </w:r>
      <w:r w:rsidRPr="00D61853">
        <w:rPr>
          <w:noProof/>
        </w:rPr>
        <w:t>, vol. 5, no. 1, pp. 837–844, 2023, doi: 10.37680/almanhaj.v5i1.2815.</w:t>
      </w:r>
    </w:p>
    <w:p w:rsidR="00CB0C43" w:rsidRPr="00D61853" w:rsidRDefault="00CB0C43" w:rsidP="00CB0C43">
      <w:pPr>
        <w:widowControl w:val="0"/>
        <w:autoSpaceDE w:val="0"/>
        <w:autoSpaceDN w:val="0"/>
        <w:adjustRightInd w:val="0"/>
        <w:ind w:left="640" w:hanging="640"/>
        <w:rPr>
          <w:noProof/>
        </w:rPr>
      </w:pPr>
      <w:r w:rsidRPr="00D61853">
        <w:rPr>
          <w:noProof/>
        </w:rPr>
        <w:t>[6]</w:t>
      </w:r>
      <w:r w:rsidRPr="00D61853">
        <w:rPr>
          <w:noProof/>
        </w:rPr>
        <w:tab/>
        <w:t xml:space="preserve">M. Suryani, H. A. Sastraatmadja, S. Elsyadina, and M. Budiman, “Pertanggungjawaban Pelaku Tindak Pidana Pencucian Uang Hasil Dari Binary Option Pada Platform Binomo,” </w:t>
      </w:r>
      <w:r w:rsidRPr="00D61853">
        <w:rPr>
          <w:i/>
          <w:iCs/>
          <w:noProof/>
        </w:rPr>
        <w:t>MAHUPAS  Mhs. Huk. Unpas</w:t>
      </w:r>
      <w:r w:rsidRPr="00D61853">
        <w:rPr>
          <w:noProof/>
        </w:rPr>
        <w:t>, vol. 1, no. 02, pp. 18–30, 2022, [Online]. Available: https://journal.unpas.ac.id/index.php/mahupas/article/view/5669</w:t>
      </w:r>
    </w:p>
    <w:p w:rsidR="00CB0C43" w:rsidRPr="00D61853" w:rsidRDefault="00CB0C43" w:rsidP="00CB0C43">
      <w:pPr>
        <w:widowControl w:val="0"/>
        <w:autoSpaceDE w:val="0"/>
        <w:autoSpaceDN w:val="0"/>
        <w:adjustRightInd w:val="0"/>
        <w:ind w:left="640" w:hanging="640"/>
        <w:rPr>
          <w:noProof/>
        </w:rPr>
      </w:pPr>
      <w:r w:rsidRPr="00D61853">
        <w:rPr>
          <w:noProof/>
        </w:rPr>
        <w:t>[7]</w:t>
      </w:r>
      <w:r w:rsidRPr="00D61853">
        <w:rPr>
          <w:noProof/>
        </w:rPr>
        <w:tab/>
        <w:t xml:space="preserve">A. Hardian </w:t>
      </w:r>
      <w:r w:rsidRPr="00D61853">
        <w:rPr>
          <w:i/>
          <w:iCs/>
          <w:noProof/>
        </w:rPr>
        <w:t>et al.</w:t>
      </w:r>
      <w:r w:rsidRPr="00D61853">
        <w:rPr>
          <w:noProof/>
        </w:rPr>
        <w:t>, “Indonesian Research Journal on Education,” vol. 5, pp. 1079–1085, 2025.</w:t>
      </w:r>
    </w:p>
    <w:p w:rsidR="00CB0C43" w:rsidRPr="00D61853" w:rsidRDefault="00CB0C43" w:rsidP="00CB0C43">
      <w:pPr>
        <w:widowControl w:val="0"/>
        <w:autoSpaceDE w:val="0"/>
        <w:autoSpaceDN w:val="0"/>
        <w:adjustRightInd w:val="0"/>
        <w:ind w:left="640" w:hanging="640"/>
        <w:rPr>
          <w:noProof/>
        </w:rPr>
      </w:pPr>
      <w:r w:rsidRPr="00D61853">
        <w:rPr>
          <w:noProof/>
        </w:rPr>
        <w:t>[8]</w:t>
      </w:r>
      <w:r w:rsidRPr="00D61853">
        <w:rPr>
          <w:noProof/>
        </w:rPr>
        <w:tab/>
        <w:t xml:space="preserve">U. Charda S, F. M. Yudha S., and S. Wahyuni, “Makna Korporasi sebagai Subjek Hukum dalam Pembaharuan KUHP Indonesia,” </w:t>
      </w:r>
      <w:r w:rsidRPr="00D61853">
        <w:rPr>
          <w:i/>
          <w:iCs/>
          <w:noProof/>
        </w:rPr>
        <w:t>Innov. J. Soc. Sci. Res.</w:t>
      </w:r>
      <w:r w:rsidRPr="00D61853">
        <w:rPr>
          <w:noProof/>
        </w:rPr>
        <w:t>, vol. 4, no. 3, pp. 3051–3061, 2024, [Online]. Available: https://j-innovative.org/index.php/Innovative/article/view/10802</w:t>
      </w:r>
    </w:p>
    <w:p w:rsidR="00CB0C43" w:rsidRPr="00D61853" w:rsidRDefault="00CB0C43" w:rsidP="00CB0C43">
      <w:pPr>
        <w:widowControl w:val="0"/>
        <w:autoSpaceDE w:val="0"/>
        <w:autoSpaceDN w:val="0"/>
        <w:adjustRightInd w:val="0"/>
        <w:ind w:left="640" w:hanging="640"/>
        <w:rPr>
          <w:noProof/>
        </w:rPr>
      </w:pPr>
      <w:r w:rsidRPr="00D61853">
        <w:rPr>
          <w:noProof/>
        </w:rPr>
        <w:t>[9]</w:t>
      </w:r>
      <w:r w:rsidRPr="00D61853">
        <w:rPr>
          <w:noProof/>
        </w:rPr>
        <w:tab/>
        <w:t xml:space="preserve">V. A. Sayoga, “Pemidanaan Terhadap Affiliator Platform Binomo Di Tinjau Dari KUHP Dan Undang-Undang Tentang Informasi Dan Transaksi Elektronik (ITE),” </w:t>
      </w:r>
      <w:r w:rsidRPr="00D61853">
        <w:rPr>
          <w:i/>
          <w:iCs/>
          <w:noProof/>
        </w:rPr>
        <w:t>Al Qodiri  J. Pendidikan, Sos. dan Keagamaan</w:t>
      </w:r>
      <w:r w:rsidRPr="00D61853">
        <w:rPr>
          <w:noProof/>
        </w:rPr>
        <w:t>, vol. 20, no. 1, pp. 46–59, 2022, doi: 10.53515/qodiri.2022.20.1.46-59.</w:t>
      </w:r>
    </w:p>
    <w:p w:rsidR="00CB0C43" w:rsidRPr="00D61853" w:rsidRDefault="00CB0C43" w:rsidP="00CB0C43">
      <w:pPr>
        <w:widowControl w:val="0"/>
        <w:autoSpaceDE w:val="0"/>
        <w:autoSpaceDN w:val="0"/>
        <w:adjustRightInd w:val="0"/>
        <w:ind w:left="640" w:hanging="640"/>
        <w:rPr>
          <w:noProof/>
        </w:rPr>
      </w:pPr>
      <w:r w:rsidRPr="00D61853">
        <w:rPr>
          <w:noProof/>
        </w:rPr>
        <w:t>[10]</w:t>
      </w:r>
      <w:r w:rsidRPr="00D61853">
        <w:rPr>
          <w:noProof/>
        </w:rPr>
        <w:tab/>
        <w:t xml:space="preserve">H. Afrillo and H. Yusuf, “Analisis Putusan Pengadilan Pasal 378 KUHP dan Pasal 64 KUHP dalam Kasus Penipuan Berlanjut,” </w:t>
      </w:r>
      <w:r w:rsidRPr="00D61853">
        <w:rPr>
          <w:i/>
          <w:iCs/>
          <w:noProof/>
        </w:rPr>
        <w:t>J. EKOMA</w:t>
      </w:r>
      <w:r w:rsidRPr="00D61853">
        <w:rPr>
          <w:noProof/>
        </w:rPr>
        <w:t>, vol. 3, no. 2, pp. 1043–1047, 2024.</w:t>
      </w:r>
    </w:p>
    <w:p w:rsidR="00CB0C43" w:rsidRPr="00D61853" w:rsidRDefault="00CB0C43" w:rsidP="00CB0C43">
      <w:pPr>
        <w:widowControl w:val="0"/>
        <w:autoSpaceDE w:val="0"/>
        <w:autoSpaceDN w:val="0"/>
        <w:adjustRightInd w:val="0"/>
        <w:ind w:left="640" w:hanging="640"/>
        <w:rPr>
          <w:noProof/>
        </w:rPr>
      </w:pPr>
      <w:r w:rsidRPr="00D61853">
        <w:rPr>
          <w:noProof/>
        </w:rPr>
        <w:t>[11]</w:t>
      </w:r>
      <w:r w:rsidRPr="00D61853">
        <w:rPr>
          <w:noProof/>
        </w:rPr>
        <w:tab/>
        <w:t xml:space="preserve">F. Fahmi Namakule, “Analisis Yuridis Perlindungan Hukum Terhadap Konsumen Pengguna Jasa Robot Trading di Indonesia,” </w:t>
      </w:r>
      <w:r w:rsidRPr="00D61853">
        <w:rPr>
          <w:i/>
          <w:iCs/>
          <w:noProof/>
        </w:rPr>
        <w:t>J. Locus Penelit. dan Pengabdi.</w:t>
      </w:r>
      <w:r w:rsidRPr="00D61853">
        <w:rPr>
          <w:noProof/>
        </w:rPr>
        <w:t>, vol. 3, no. 4, pp. 297–317, 2024, doi: 10.58344/locus.v3i4.2564.</w:t>
      </w:r>
    </w:p>
    <w:p w:rsidR="00CB0C43" w:rsidRPr="00D61853" w:rsidRDefault="00CB0C43" w:rsidP="00CB0C43">
      <w:pPr>
        <w:widowControl w:val="0"/>
        <w:autoSpaceDE w:val="0"/>
        <w:autoSpaceDN w:val="0"/>
        <w:adjustRightInd w:val="0"/>
        <w:ind w:left="640" w:hanging="640"/>
        <w:rPr>
          <w:noProof/>
        </w:rPr>
      </w:pPr>
      <w:r w:rsidRPr="00D61853">
        <w:rPr>
          <w:noProof/>
        </w:rPr>
        <w:t>[12]</w:t>
      </w:r>
      <w:r w:rsidRPr="00D61853">
        <w:rPr>
          <w:noProof/>
        </w:rPr>
        <w:tab/>
        <w:t>A. Information, “ٰ ي ْ ا و ْ ا ا م ْ َ ل ْ ا ْ و َ ل َ ز ْ َ ل ْ ا ْٰٓ ُ ن م َّ لا ل َ ن ِ َّ لا ا ه ْ ا َ ف ن ْ ر ْ ش َ ن ْ م ْ ذ َ ُّ ي َ ا ٰٓ ي ٰ ُ ه و ْ ُ ب ِ ن َ ت ج َ با ُ ص َ ر ِ ْ خ َ ع ِِّ س َ ل َ َّ ن ِ ا ا و َ ا ٰ َ ن ي ٌ ج ِ م ُ س ي ُ م ُ ل ْ ِ م ْ ُ ت م َ ن و,” vol. 4, no. 6, 2024.</w:t>
      </w:r>
    </w:p>
    <w:p w:rsidR="00CB0C43" w:rsidRPr="00D61853" w:rsidRDefault="00CB0C43" w:rsidP="00CB0C43">
      <w:pPr>
        <w:widowControl w:val="0"/>
        <w:autoSpaceDE w:val="0"/>
        <w:autoSpaceDN w:val="0"/>
        <w:adjustRightInd w:val="0"/>
        <w:ind w:left="640" w:hanging="640"/>
        <w:rPr>
          <w:noProof/>
        </w:rPr>
      </w:pPr>
      <w:r w:rsidRPr="00D61853">
        <w:rPr>
          <w:noProof/>
        </w:rPr>
        <w:t>[13]</w:t>
      </w:r>
      <w:r w:rsidRPr="00D61853">
        <w:rPr>
          <w:noProof/>
        </w:rPr>
        <w:tab/>
        <w:t xml:space="preserve">S. Hamdi, Suhaimi, and Mujibussalim, “Bukti Elektronik dalam Sistem Pembuktian Pidana,” </w:t>
      </w:r>
      <w:r w:rsidRPr="00D61853">
        <w:rPr>
          <w:i/>
          <w:iCs/>
          <w:noProof/>
        </w:rPr>
        <w:t>J. Ilmu Huk.</w:t>
      </w:r>
      <w:r w:rsidRPr="00D61853">
        <w:rPr>
          <w:noProof/>
        </w:rPr>
        <w:t>, vol. 7, no. 4, pp. 25–31, 2013.</w:t>
      </w:r>
    </w:p>
    <w:p w:rsidR="00CB0C43" w:rsidRPr="00D61853" w:rsidRDefault="00CB0C43" w:rsidP="00CB0C43">
      <w:pPr>
        <w:widowControl w:val="0"/>
        <w:autoSpaceDE w:val="0"/>
        <w:autoSpaceDN w:val="0"/>
        <w:adjustRightInd w:val="0"/>
        <w:ind w:left="640" w:hanging="640"/>
        <w:rPr>
          <w:noProof/>
        </w:rPr>
      </w:pPr>
      <w:r w:rsidRPr="00D61853">
        <w:rPr>
          <w:noProof/>
        </w:rPr>
        <w:t>[14]</w:t>
      </w:r>
      <w:r w:rsidRPr="00D61853">
        <w:rPr>
          <w:noProof/>
        </w:rPr>
        <w:tab/>
        <w:t xml:space="preserve">M. A. I. Irfanto, “Urgensi Pengaturan Mengenai Perdagangan Opsi Biner Dalam Peraturan Bappebti,” </w:t>
      </w:r>
      <w:r w:rsidRPr="00D61853">
        <w:rPr>
          <w:i/>
          <w:iCs/>
          <w:noProof/>
        </w:rPr>
        <w:t>Kumpul. J. Mhs. Fak. Huk.</w:t>
      </w:r>
      <w:r w:rsidRPr="00D61853">
        <w:rPr>
          <w:noProof/>
        </w:rPr>
        <w:t>, no. Sarjana Ilmu Hukum, Juni 2021, 2021.</w:t>
      </w:r>
    </w:p>
    <w:p w:rsidR="00CB0C43" w:rsidRPr="00D61853" w:rsidRDefault="00CB0C43" w:rsidP="00CB0C43">
      <w:pPr>
        <w:widowControl w:val="0"/>
        <w:autoSpaceDE w:val="0"/>
        <w:autoSpaceDN w:val="0"/>
        <w:adjustRightInd w:val="0"/>
        <w:ind w:left="640" w:hanging="640"/>
        <w:rPr>
          <w:noProof/>
        </w:rPr>
      </w:pPr>
      <w:r w:rsidRPr="00D61853">
        <w:rPr>
          <w:noProof/>
        </w:rPr>
        <w:t>[15]</w:t>
      </w:r>
      <w:r w:rsidRPr="00D61853">
        <w:rPr>
          <w:noProof/>
        </w:rPr>
        <w:tab/>
        <w:t xml:space="preserve">K. SaThierbach </w:t>
      </w:r>
      <w:r w:rsidRPr="00D61853">
        <w:rPr>
          <w:i/>
          <w:iCs/>
          <w:noProof/>
        </w:rPr>
        <w:t>et al.</w:t>
      </w:r>
      <w:r w:rsidRPr="00D61853">
        <w:rPr>
          <w:noProof/>
        </w:rPr>
        <w:t xml:space="preserve">, “No </w:t>
      </w:r>
      <w:r w:rsidRPr="00D61853">
        <w:rPr>
          <w:rFonts w:ascii="MS Mincho" w:eastAsia="MS Mincho" w:hAnsi="MS Mincho" w:cs="MS Mincho" w:hint="eastAsia"/>
          <w:noProof/>
        </w:rPr>
        <w:t>主観的健康感を中心とした在宅高齢者における</w:t>
      </w:r>
      <w:r w:rsidRPr="00D61853">
        <w:rPr>
          <w:noProof/>
        </w:rPr>
        <w:t xml:space="preserve"> </w:t>
      </w:r>
      <w:r w:rsidRPr="00D61853">
        <w:rPr>
          <w:rFonts w:ascii="MS Mincho" w:eastAsia="MS Mincho" w:hAnsi="MS Mincho" w:cs="MS Mincho" w:hint="eastAsia"/>
          <w:noProof/>
        </w:rPr>
        <w:t>健康関連指標に関する共分散構造分析</w:t>
      </w:r>
      <w:r w:rsidRPr="00D61853">
        <w:rPr>
          <w:noProof/>
        </w:rPr>
        <w:t xml:space="preserve">Title,” </w:t>
      </w:r>
      <w:r w:rsidRPr="00D61853">
        <w:rPr>
          <w:i/>
          <w:iCs/>
          <w:noProof/>
        </w:rPr>
        <w:t>Proc. Natl. Acad. Sci.</w:t>
      </w:r>
      <w:r w:rsidRPr="00D61853">
        <w:rPr>
          <w:noProof/>
        </w:rPr>
        <w:t>, vol. 3, no. 1, pp. 1–15, 2015, [Online]. Available: http://dx.doi.org/10.1016/j.bpj.2015.06.056%0Ahttps://academic.oup.com/bioinformatics/article-abstract/34/13/2201/4852827%0Ainternal-pdf://semisupervised-3254828305/semisupervised.ppt%0Ahttp://dx.doi.org/10.1016/j.str.2013.02.005%0Ahttp://dx.doi.org/10.10</w:t>
      </w:r>
    </w:p>
    <w:p w:rsidR="00CB0C43" w:rsidRPr="00CB0C43" w:rsidRDefault="00CB0C43" w:rsidP="00CB0C43">
      <w:pPr>
        <w:rPr>
          <w:sz w:val="23"/>
          <w:szCs w:val="23"/>
          <w:u w:val="single"/>
        </w:rPr>
      </w:pPr>
      <w:r>
        <w:rPr>
          <w:rStyle w:val="Hyperlink"/>
          <w:color w:val="auto"/>
          <w:sz w:val="23"/>
          <w:szCs w:val="23"/>
        </w:rPr>
        <w:fldChar w:fldCharType="end"/>
      </w:r>
    </w:p>
    <w:sectPr w:rsidR="00CB0C43" w:rsidRPr="00CB0C43" w:rsidSect="00CB0C43">
      <w:pgSz w:w="11906" w:h="16838"/>
      <w:pgMar w:top="993"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C43"/>
    <w:rsid w:val="00011015"/>
    <w:rsid w:val="00B828CC"/>
    <w:rsid w:val="00CB0C43"/>
    <w:rsid w:val="00E718F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7B0AB"/>
  <w15:chartTrackingRefBased/>
  <w15:docId w15:val="{F5033D6F-924E-4C21-B310-51D19755C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C43"/>
    <w:pPr>
      <w:suppressAutoHyphens/>
      <w:spacing w:after="0" w:line="240" w:lineRule="auto"/>
    </w:pPr>
    <w:rPr>
      <w:rFonts w:ascii="Times New Roman" w:eastAsia="Times New Roman" w:hAnsi="Times New Roman" w:cs="Times New Roman"/>
      <w:kern w:val="0"/>
      <w:lang w:val="id-ID" w:eastAsia="zh-CN"/>
      <w14:ligatures w14:val="none"/>
    </w:rPr>
  </w:style>
  <w:style w:type="paragraph" w:styleId="Heading1">
    <w:name w:val="heading 1"/>
    <w:basedOn w:val="Normal"/>
    <w:next w:val="Normal"/>
    <w:link w:val="Heading1Char"/>
    <w:uiPriority w:val="9"/>
    <w:qFormat/>
    <w:rsid w:val="00CB0C43"/>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ID" w:eastAsia="en-US"/>
      <w14:ligatures w14:val="standardContextual"/>
    </w:rPr>
  </w:style>
  <w:style w:type="paragraph" w:styleId="Heading2">
    <w:name w:val="heading 2"/>
    <w:basedOn w:val="Normal"/>
    <w:next w:val="Normal"/>
    <w:link w:val="Heading2Char"/>
    <w:uiPriority w:val="9"/>
    <w:semiHidden/>
    <w:unhideWhenUsed/>
    <w:qFormat/>
    <w:rsid w:val="00CB0C43"/>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ID" w:eastAsia="en-US"/>
      <w14:ligatures w14:val="standardContextual"/>
    </w:rPr>
  </w:style>
  <w:style w:type="paragraph" w:styleId="Heading3">
    <w:name w:val="heading 3"/>
    <w:basedOn w:val="Normal"/>
    <w:next w:val="Normal"/>
    <w:link w:val="Heading3Char"/>
    <w:uiPriority w:val="9"/>
    <w:semiHidden/>
    <w:unhideWhenUsed/>
    <w:qFormat/>
    <w:rsid w:val="00CB0C43"/>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ID" w:eastAsia="en-US"/>
      <w14:ligatures w14:val="standardContextual"/>
    </w:rPr>
  </w:style>
  <w:style w:type="paragraph" w:styleId="Heading4">
    <w:name w:val="heading 4"/>
    <w:basedOn w:val="Normal"/>
    <w:next w:val="Normal"/>
    <w:link w:val="Heading4Char"/>
    <w:uiPriority w:val="9"/>
    <w:semiHidden/>
    <w:unhideWhenUsed/>
    <w:qFormat/>
    <w:rsid w:val="00CB0C43"/>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lang w:val="en-ID" w:eastAsia="en-US"/>
      <w14:ligatures w14:val="standardContextual"/>
    </w:rPr>
  </w:style>
  <w:style w:type="paragraph" w:styleId="Heading5">
    <w:name w:val="heading 5"/>
    <w:basedOn w:val="Normal"/>
    <w:next w:val="Normal"/>
    <w:link w:val="Heading5Char"/>
    <w:uiPriority w:val="9"/>
    <w:semiHidden/>
    <w:unhideWhenUsed/>
    <w:qFormat/>
    <w:rsid w:val="00CB0C43"/>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lang w:val="en-ID" w:eastAsia="en-US"/>
      <w14:ligatures w14:val="standardContextual"/>
    </w:rPr>
  </w:style>
  <w:style w:type="paragraph" w:styleId="Heading6">
    <w:name w:val="heading 6"/>
    <w:basedOn w:val="Normal"/>
    <w:next w:val="Normal"/>
    <w:link w:val="Heading6Char"/>
    <w:uiPriority w:val="9"/>
    <w:semiHidden/>
    <w:unhideWhenUsed/>
    <w:qFormat/>
    <w:rsid w:val="00CB0C43"/>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lang w:val="en-ID" w:eastAsia="en-US"/>
      <w14:ligatures w14:val="standardContextual"/>
    </w:rPr>
  </w:style>
  <w:style w:type="paragraph" w:styleId="Heading7">
    <w:name w:val="heading 7"/>
    <w:basedOn w:val="Normal"/>
    <w:next w:val="Normal"/>
    <w:link w:val="Heading7Char"/>
    <w:uiPriority w:val="9"/>
    <w:semiHidden/>
    <w:unhideWhenUsed/>
    <w:qFormat/>
    <w:rsid w:val="00CB0C43"/>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lang w:val="en-ID" w:eastAsia="en-US"/>
      <w14:ligatures w14:val="standardContextual"/>
    </w:rPr>
  </w:style>
  <w:style w:type="paragraph" w:styleId="Heading8">
    <w:name w:val="heading 8"/>
    <w:basedOn w:val="Normal"/>
    <w:next w:val="Normal"/>
    <w:link w:val="Heading8Char"/>
    <w:uiPriority w:val="9"/>
    <w:semiHidden/>
    <w:unhideWhenUsed/>
    <w:qFormat/>
    <w:rsid w:val="00CB0C43"/>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lang w:val="en-ID" w:eastAsia="en-US"/>
      <w14:ligatures w14:val="standardContextual"/>
    </w:rPr>
  </w:style>
  <w:style w:type="paragraph" w:styleId="Heading9">
    <w:name w:val="heading 9"/>
    <w:basedOn w:val="Normal"/>
    <w:next w:val="Normal"/>
    <w:link w:val="Heading9Char"/>
    <w:uiPriority w:val="9"/>
    <w:semiHidden/>
    <w:unhideWhenUsed/>
    <w:qFormat/>
    <w:rsid w:val="00CB0C43"/>
    <w:pPr>
      <w:keepNext/>
      <w:keepLines/>
      <w:suppressAutoHyphens w:val="0"/>
      <w:spacing w:line="278" w:lineRule="auto"/>
      <w:outlineLvl w:val="8"/>
    </w:pPr>
    <w:rPr>
      <w:rFonts w:asciiTheme="minorHAnsi" w:eastAsiaTheme="majorEastAsia" w:hAnsiTheme="minorHAnsi" w:cstheme="majorBidi"/>
      <w:color w:val="272727" w:themeColor="text1" w:themeTint="D8"/>
      <w:kern w:val="2"/>
      <w:lang w:val="en-ID"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C4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B0C4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B0C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B0C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B0C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B0C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0C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0C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0C43"/>
    <w:rPr>
      <w:rFonts w:eastAsiaTheme="majorEastAsia" w:cstheme="majorBidi"/>
      <w:color w:val="272727" w:themeColor="text1" w:themeTint="D8"/>
    </w:rPr>
  </w:style>
  <w:style w:type="paragraph" w:styleId="Title">
    <w:name w:val="Title"/>
    <w:basedOn w:val="Normal"/>
    <w:next w:val="Normal"/>
    <w:link w:val="TitleChar"/>
    <w:uiPriority w:val="10"/>
    <w:qFormat/>
    <w:rsid w:val="00CB0C43"/>
    <w:pPr>
      <w:suppressAutoHyphens w:val="0"/>
      <w:spacing w:after="80"/>
      <w:contextualSpacing/>
    </w:pPr>
    <w:rPr>
      <w:rFonts w:asciiTheme="majorHAnsi" w:eastAsiaTheme="majorEastAsia" w:hAnsiTheme="majorHAnsi" w:cstheme="majorBidi"/>
      <w:spacing w:val="-10"/>
      <w:kern w:val="28"/>
      <w:sz w:val="56"/>
      <w:szCs w:val="56"/>
      <w:lang w:val="en-ID" w:eastAsia="en-US"/>
      <w14:ligatures w14:val="standardContextual"/>
    </w:rPr>
  </w:style>
  <w:style w:type="character" w:customStyle="1" w:styleId="TitleChar">
    <w:name w:val="Title Char"/>
    <w:basedOn w:val="DefaultParagraphFont"/>
    <w:link w:val="Title"/>
    <w:uiPriority w:val="10"/>
    <w:rsid w:val="00CB0C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0C43"/>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ID" w:eastAsia="en-US"/>
      <w14:ligatures w14:val="standardContextual"/>
    </w:rPr>
  </w:style>
  <w:style w:type="character" w:customStyle="1" w:styleId="SubtitleChar">
    <w:name w:val="Subtitle Char"/>
    <w:basedOn w:val="DefaultParagraphFont"/>
    <w:link w:val="Subtitle"/>
    <w:uiPriority w:val="11"/>
    <w:rsid w:val="00CB0C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0C43"/>
    <w:pPr>
      <w:suppressAutoHyphens w:val="0"/>
      <w:spacing w:before="160" w:after="160" w:line="278" w:lineRule="auto"/>
      <w:jc w:val="center"/>
    </w:pPr>
    <w:rPr>
      <w:rFonts w:asciiTheme="minorHAnsi" w:eastAsiaTheme="minorHAnsi" w:hAnsiTheme="minorHAnsi" w:cstheme="minorBidi"/>
      <w:i/>
      <w:iCs/>
      <w:color w:val="404040" w:themeColor="text1" w:themeTint="BF"/>
      <w:kern w:val="2"/>
      <w:lang w:val="en-ID" w:eastAsia="en-US"/>
      <w14:ligatures w14:val="standardContextual"/>
    </w:rPr>
  </w:style>
  <w:style w:type="character" w:customStyle="1" w:styleId="QuoteChar">
    <w:name w:val="Quote Char"/>
    <w:basedOn w:val="DefaultParagraphFont"/>
    <w:link w:val="Quote"/>
    <w:uiPriority w:val="29"/>
    <w:rsid w:val="00CB0C43"/>
    <w:rPr>
      <w:i/>
      <w:iCs/>
      <w:color w:val="404040" w:themeColor="text1" w:themeTint="BF"/>
    </w:rPr>
  </w:style>
  <w:style w:type="paragraph" w:styleId="ListParagraph">
    <w:name w:val="List Paragraph"/>
    <w:basedOn w:val="Normal"/>
    <w:uiPriority w:val="34"/>
    <w:qFormat/>
    <w:rsid w:val="00CB0C43"/>
    <w:pPr>
      <w:suppressAutoHyphens w:val="0"/>
      <w:spacing w:after="160" w:line="278" w:lineRule="auto"/>
      <w:ind w:left="720"/>
      <w:contextualSpacing/>
    </w:pPr>
    <w:rPr>
      <w:rFonts w:asciiTheme="minorHAnsi" w:eastAsiaTheme="minorHAnsi" w:hAnsiTheme="minorHAnsi" w:cstheme="minorBidi"/>
      <w:kern w:val="2"/>
      <w:lang w:val="en-ID" w:eastAsia="en-US"/>
      <w14:ligatures w14:val="standardContextual"/>
    </w:rPr>
  </w:style>
  <w:style w:type="character" w:styleId="IntenseEmphasis">
    <w:name w:val="Intense Emphasis"/>
    <w:basedOn w:val="DefaultParagraphFont"/>
    <w:uiPriority w:val="21"/>
    <w:qFormat/>
    <w:rsid w:val="00CB0C43"/>
    <w:rPr>
      <w:i/>
      <w:iCs/>
      <w:color w:val="0F4761" w:themeColor="accent1" w:themeShade="BF"/>
    </w:rPr>
  </w:style>
  <w:style w:type="paragraph" w:styleId="IntenseQuote">
    <w:name w:val="Intense Quote"/>
    <w:basedOn w:val="Normal"/>
    <w:next w:val="Normal"/>
    <w:link w:val="IntenseQuoteChar"/>
    <w:uiPriority w:val="30"/>
    <w:qFormat/>
    <w:rsid w:val="00CB0C43"/>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lang w:val="en-ID" w:eastAsia="en-US"/>
      <w14:ligatures w14:val="standardContextual"/>
    </w:rPr>
  </w:style>
  <w:style w:type="character" w:customStyle="1" w:styleId="IntenseQuoteChar">
    <w:name w:val="Intense Quote Char"/>
    <w:basedOn w:val="DefaultParagraphFont"/>
    <w:link w:val="IntenseQuote"/>
    <w:uiPriority w:val="30"/>
    <w:rsid w:val="00CB0C43"/>
    <w:rPr>
      <w:i/>
      <w:iCs/>
      <w:color w:val="0F4761" w:themeColor="accent1" w:themeShade="BF"/>
    </w:rPr>
  </w:style>
  <w:style w:type="character" w:styleId="IntenseReference">
    <w:name w:val="Intense Reference"/>
    <w:basedOn w:val="DefaultParagraphFont"/>
    <w:uiPriority w:val="32"/>
    <w:qFormat/>
    <w:rsid w:val="00CB0C43"/>
    <w:rPr>
      <w:b/>
      <w:bCs/>
      <w:smallCaps/>
      <w:color w:val="0F4761" w:themeColor="accent1" w:themeShade="BF"/>
      <w:spacing w:val="5"/>
    </w:rPr>
  </w:style>
  <w:style w:type="character" w:styleId="Hyperlink">
    <w:name w:val="Hyperlink"/>
    <w:rsid w:val="00CB0C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826</Words>
  <Characters>4713</Characters>
  <Application>Microsoft Office Word</Application>
  <DocSecurity>0</DocSecurity>
  <Lines>39</Lines>
  <Paragraphs>11</Paragraphs>
  <ScaleCrop>false</ScaleCrop>
  <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Nurul Efendi</dc:creator>
  <cp:keywords/>
  <dc:description/>
  <cp:lastModifiedBy>Nurul Efendi</cp:lastModifiedBy>
  <cp:revision>1</cp:revision>
  <dcterms:created xsi:type="dcterms:W3CDTF">2025-08-08T14:55:00Z</dcterms:created>
  <dcterms:modified xsi:type="dcterms:W3CDTF">2025-08-08T14:57:00Z</dcterms:modified>
</cp:coreProperties>
</file>